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28"/>
        </w:rPr>
      </w:pPr>
      <w:r>
        <w:rPr>
          <w:rFonts w:hint="eastAsia"/>
          <w:b/>
          <w:bCs/>
          <w:sz w:val="28"/>
          <w:szCs w:val="28"/>
          <w:lang w:val="en-US" w:eastAsia="zh-Hans"/>
        </w:rPr>
        <w:t>特约商户</w:t>
      </w:r>
      <w:r>
        <w:rPr>
          <w:b/>
          <w:bCs/>
          <w:sz w:val="28"/>
          <w:szCs w:val="28"/>
        </w:rPr>
        <w:t>间联分账业务开通申请表</w:t>
      </w:r>
      <w:bookmarkStart w:id="0" w:name="_GoBack"/>
      <w:bookmarkEnd w:id="0"/>
    </w:p>
    <w:tbl>
      <w:tblPr>
        <w:tblStyle w:val="3"/>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4"/>
        <w:gridCol w:w="2572"/>
        <w:gridCol w:w="2060"/>
        <w:gridCol w:w="2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jc w:val="left"/>
              <w:rPr>
                <w:rFonts w:ascii="DengXian-Bold" w:hAnsi="DengXian-Bold" w:eastAsia="DengXian-Bold" w:cs="DengXian-Bold"/>
                <w:b/>
                <w:color w:val="000000"/>
                <w:kern w:val="0"/>
                <w:szCs w:val="21"/>
                <w:lang w:bidi="ar"/>
              </w:rPr>
            </w:pPr>
            <w:r>
              <w:rPr>
                <w:rFonts w:ascii="DengXian-Bold" w:hAnsi="DengXian-Bold" w:eastAsia="DengXian-Bold" w:cs="DengXian-Bold"/>
                <w:b/>
                <w:color w:val="000000"/>
                <w:kern w:val="0"/>
                <w:szCs w:val="21"/>
                <w:lang w:bidi="ar"/>
              </w:rPr>
              <w:t>项目名称</w:t>
            </w:r>
          </w:p>
        </w:tc>
        <w:tc>
          <w:tcPr>
            <w:tcW w:w="2572" w:type="dxa"/>
          </w:tcPr>
          <w:p>
            <w:pPr>
              <w:widowControl/>
              <w:jc w:val="left"/>
              <w:rPr>
                <w:rFonts w:hint="default" w:ascii="DengXian-Bold" w:hAnsi="DengXian-Bold" w:eastAsia="DengXian-Bold" w:cs="DengXian-Bold"/>
                <w:b/>
                <w:color w:val="000000"/>
                <w:kern w:val="0"/>
                <w:szCs w:val="21"/>
                <w:lang w:eastAsia="zh-Hans" w:bidi="ar"/>
              </w:rPr>
            </w:pPr>
            <w:r>
              <w:rPr>
                <w:rFonts w:hint="eastAsia" w:ascii="DengXian-Regular" w:hAnsi="DengXian-Regular" w:eastAsia="DengXian-Regular" w:cs="DengXian-Regular"/>
                <w:i/>
                <w:color w:val="FF0000"/>
                <w:kern w:val="0"/>
                <w:szCs w:val="21"/>
                <w:lang w:val="en-US" w:eastAsia="zh-Hans" w:bidi="ar"/>
              </w:rPr>
              <w:t>填写示例</w:t>
            </w:r>
            <w:r>
              <w:rPr>
                <w:rFonts w:hint="default" w:ascii="DengXian-Regular" w:hAnsi="DengXian-Regular" w:eastAsia="DengXian-Regular" w:cs="DengXian-Regular"/>
                <w:i/>
                <w:color w:val="FF0000"/>
                <w:kern w:val="0"/>
                <w:szCs w:val="21"/>
                <w:lang w:eastAsia="zh-Hans" w:bidi="ar"/>
              </w:rPr>
              <w:t>：</w:t>
            </w:r>
            <w:r>
              <w:rPr>
                <w:rFonts w:hint="eastAsia" w:ascii="DengXian-Regular" w:hAnsi="DengXian-Regular" w:eastAsia="DengXian-Regular" w:cs="DengXian-Regular"/>
                <w:i/>
                <w:color w:val="FF0000"/>
                <w:kern w:val="0"/>
                <w:szCs w:val="21"/>
                <w:lang w:val="en-US" w:eastAsia="zh-Hans" w:bidi="ar"/>
              </w:rPr>
              <w:t>分账开通申请项目</w:t>
            </w:r>
          </w:p>
        </w:tc>
        <w:tc>
          <w:tcPr>
            <w:tcW w:w="2060" w:type="dxa"/>
          </w:tcPr>
          <w:p>
            <w:pPr>
              <w:widowControl/>
              <w:jc w:val="left"/>
            </w:pPr>
            <w:r>
              <w:rPr>
                <w:rFonts w:ascii="DengXian-Bold" w:hAnsi="DengXian-Bold" w:eastAsia="DengXian-Bold" w:cs="DengXian-Bold"/>
                <w:b/>
                <w:color w:val="000000"/>
                <w:kern w:val="0"/>
                <w:szCs w:val="21"/>
                <w:lang w:bidi="ar"/>
              </w:rPr>
              <w:t>申请方名称</w:t>
            </w:r>
          </w:p>
        </w:tc>
        <w:tc>
          <w:tcPr>
            <w:tcW w:w="2720" w:type="dxa"/>
          </w:tcPr>
          <w:p>
            <w:pPr>
              <w:rPr>
                <w:rFonts w:hint="eastAsia"/>
                <w:lang w:val="en-US" w:eastAsia="zh-Hans"/>
              </w:rPr>
            </w:pPr>
          </w:p>
          <w:p>
            <w:pPr>
              <w:rPr>
                <w:rFonts w:hint="default" w:eastAsiaTheme="minorEastAsia"/>
                <w:lang w:val="en-US" w:eastAsia="zh-Hans"/>
              </w:rPr>
            </w:pPr>
            <w:r>
              <w:rPr>
                <w:rFonts w:hint="eastAsia" w:ascii="DengXian-Regular" w:hAnsi="DengXian-Regular" w:eastAsia="DengXian-Regular" w:cs="DengXian-Regular"/>
                <w:i/>
                <w:color w:val="FF0000"/>
                <w:kern w:val="0"/>
                <w:szCs w:val="21"/>
                <w:lang w:val="en-US" w:eastAsia="zh-Hans" w:bidi="ar"/>
              </w:rPr>
              <w:t>分账接收方名称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jc w:val="left"/>
              <w:rPr>
                <w:rFonts w:ascii="DengXian-Bold" w:hAnsi="DengXian-Bold" w:eastAsia="DengXian-Bold" w:cs="DengXian-Bold"/>
                <w:b/>
                <w:color w:val="000000"/>
                <w:kern w:val="0"/>
                <w:szCs w:val="21"/>
                <w:lang w:bidi="ar"/>
              </w:rPr>
            </w:pPr>
            <w:r>
              <w:rPr>
                <w:rFonts w:ascii="DengXian-Bold" w:hAnsi="DengXian-Bold" w:eastAsia="DengXian-Bold" w:cs="DengXian-Bold"/>
                <w:b/>
                <w:color w:val="000000"/>
                <w:kern w:val="0"/>
                <w:szCs w:val="21"/>
                <w:lang w:bidi="ar"/>
              </w:rPr>
              <w:t>期望上线时间</w:t>
            </w:r>
          </w:p>
        </w:tc>
        <w:tc>
          <w:tcPr>
            <w:tcW w:w="2572" w:type="dxa"/>
          </w:tcPr>
          <w:p>
            <w:pPr>
              <w:widowControl/>
              <w:jc w:val="left"/>
              <w:rPr>
                <w:rFonts w:hint="eastAsia" w:ascii="DengXian-Bold" w:hAnsi="DengXian-Bold" w:eastAsia="DengXian-Bold" w:cs="DengXian-Bold"/>
                <w:b/>
                <w:color w:val="000000"/>
                <w:kern w:val="0"/>
                <w:szCs w:val="21"/>
                <w:lang w:val="en-US" w:eastAsia="zh-Hans" w:bidi="ar"/>
              </w:rPr>
            </w:pPr>
          </w:p>
        </w:tc>
        <w:tc>
          <w:tcPr>
            <w:tcW w:w="2060" w:type="dxa"/>
          </w:tcPr>
          <w:p>
            <w:pPr>
              <w:widowControl/>
              <w:jc w:val="left"/>
              <w:rPr>
                <w:rFonts w:ascii="DengXian-Bold" w:hAnsi="DengXian-Bold" w:eastAsia="DengXian-Bold" w:cs="DengXian-Bold"/>
                <w:b/>
                <w:color w:val="000000"/>
                <w:kern w:val="0"/>
                <w:szCs w:val="21"/>
                <w:lang w:bidi="ar"/>
              </w:rPr>
            </w:pPr>
            <w:r>
              <w:rPr>
                <w:rFonts w:ascii="DengXian-Bold" w:hAnsi="DengXian-Bold" w:eastAsia="DengXian-Bold" w:cs="DengXian-Bold"/>
                <w:b/>
                <w:color w:val="000000"/>
                <w:kern w:val="0"/>
                <w:szCs w:val="21"/>
                <w:lang w:bidi="ar"/>
              </w:rPr>
              <w:t>联系人/联系方式</w:t>
            </w:r>
          </w:p>
        </w:tc>
        <w:tc>
          <w:tcPr>
            <w:tcW w:w="2720" w:type="dxa"/>
          </w:tcPr>
          <w:p>
            <w:pPr>
              <w:widowControl/>
              <w:jc w:val="left"/>
              <w:rPr>
                <w:rFonts w:ascii="DengXian-Bold" w:hAnsi="DengXian-Bold" w:eastAsia="DengXian-Bold" w:cs="DengXian-Bold"/>
                <w:b/>
                <w:color w:val="000000"/>
                <w:kern w:val="0"/>
                <w:szCs w:val="21"/>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jc w:val="left"/>
            </w:pPr>
            <w:r>
              <w:rPr>
                <w:rFonts w:ascii="DengXian-Bold" w:hAnsi="DengXian-Bold" w:eastAsia="DengXian-Bold" w:cs="DengXian-Bold"/>
                <w:b/>
                <w:color w:val="000000"/>
                <w:kern w:val="0"/>
                <w:szCs w:val="21"/>
                <w:lang w:bidi="ar"/>
              </w:rPr>
              <w:t>业务拓展区域</w:t>
            </w:r>
          </w:p>
        </w:tc>
        <w:tc>
          <w:tcPr>
            <w:tcW w:w="2572" w:type="dxa"/>
          </w:tcPr>
          <w:p>
            <w:pPr>
              <w:rPr>
                <w:rFonts w:hint="default" w:eastAsiaTheme="minorEastAsia"/>
                <w:lang w:val="en-US" w:eastAsia="zh-Hans"/>
              </w:rPr>
            </w:pPr>
            <w:r>
              <w:rPr>
                <w:rFonts w:hint="eastAsia" w:ascii="DengXian-Regular" w:hAnsi="DengXian-Regular" w:eastAsia="DengXian-Regular" w:cs="DengXian-Regular"/>
                <w:i/>
                <w:color w:val="FF0000"/>
                <w:kern w:val="0"/>
                <w:szCs w:val="21"/>
                <w:lang w:val="en-US" w:eastAsia="zh-Hans" w:bidi="ar"/>
              </w:rPr>
              <w:t>接收方所在地址</w:t>
            </w:r>
          </w:p>
        </w:tc>
        <w:tc>
          <w:tcPr>
            <w:tcW w:w="2060" w:type="dxa"/>
          </w:tcPr>
          <w:p>
            <w:pPr>
              <w:widowControl/>
              <w:jc w:val="left"/>
            </w:pPr>
            <w:r>
              <w:rPr>
                <w:rFonts w:ascii="DengXian-Bold" w:hAnsi="DengXian-Bold" w:eastAsia="DengXian-Bold" w:cs="DengXian-Bold"/>
                <w:b/>
                <w:color w:val="000000"/>
                <w:kern w:val="0"/>
                <w:szCs w:val="21"/>
                <w:lang w:bidi="ar"/>
              </w:rPr>
              <w:t>业务拓展行业</w:t>
            </w:r>
          </w:p>
        </w:tc>
        <w:tc>
          <w:tcPr>
            <w:tcW w:w="2720" w:type="dxa"/>
          </w:tcPr>
          <w:p>
            <w:pPr>
              <w:rPr>
                <w:rFonts w:hint="default" w:eastAsiaTheme="minorEastAsia"/>
                <w:lang w:val="en-US" w:eastAsia="zh-Hans"/>
              </w:rPr>
            </w:pPr>
            <w:r>
              <w:rPr>
                <w:rFonts w:hint="eastAsia" w:ascii="DengXian-Regular" w:hAnsi="DengXian-Regular" w:eastAsia="DengXian-Regular" w:cs="DengXian-Regular"/>
                <w:i/>
                <w:color w:val="FF0000"/>
                <w:kern w:val="0"/>
                <w:szCs w:val="21"/>
                <w:lang w:val="en-US" w:eastAsia="zh-Hans" w:bidi="ar"/>
              </w:rPr>
              <w:t>所属一级行业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jc w:val="left"/>
              <w:rPr>
                <w:rFonts w:ascii="DengXian-Bold" w:hAnsi="DengXian-Bold" w:eastAsia="DengXian-Bold" w:cs="DengXian-Bold"/>
                <w:b/>
                <w:color w:val="000000"/>
                <w:kern w:val="0"/>
                <w:szCs w:val="21"/>
                <w:lang w:bidi="ar"/>
              </w:rPr>
            </w:pPr>
            <w:r>
              <w:rPr>
                <w:rFonts w:ascii="DengXian-Bold" w:hAnsi="DengXian-Bold" w:eastAsia="DengXian-Bold" w:cs="DengXian-Bold"/>
                <w:b/>
                <w:color w:val="000000"/>
                <w:kern w:val="0"/>
                <w:szCs w:val="21"/>
                <w:lang w:bidi="ar"/>
              </w:rPr>
              <w:t>业务范围</w:t>
            </w:r>
          </w:p>
        </w:tc>
        <w:tc>
          <w:tcPr>
            <w:tcW w:w="7352" w:type="dxa"/>
            <w:gridSpan w:val="3"/>
          </w:tcPr>
          <w:p>
            <w:pPr>
              <w:rPr>
                <w:rFonts w:hint="default" w:eastAsiaTheme="minorEastAsia"/>
                <w:lang w:val="en-US" w:eastAsia="zh-Hans"/>
              </w:rPr>
            </w:pPr>
            <w:r>
              <w:rPr>
                <w:rFonts w:hint="eastAsia" w:ascii="DengXian-Regular" w:hAnsi="DengXian-Regular" w:eastAsia="DengXian-Regular" w:cs="DengXian-Regular"/>
                <w:i/>
                <w:color w:val="FF0000"/>
                <w:kern w:val="0"/>
                <w:szCs w:val="21"/>
                <w:lang w:val="en-US" w:eastAsia="zh-Hans" w:bidi="ar"/>
              </w:rPr>
              <w:t>接收方经营业务范围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jc w:val="left"/>
            </w:pPr>
            <w:r>
              <w:rPr>
                <w:rFonts w:ascii="DengXian-Bold" w:hAnsi="DengXian-Bold" w:eastAsia="DengXian-Bold" w:cs="DengXian-Bold"/>
                <w:b/>
                <w:color w:val="000000"/>
                <w:kern w:val="0"/>
                <w:szCs w:val="21"/>
                <w:lang w:bidi="ar"/>
              </w:rPr>
              <w:t xml:space="preserve">业务规模 </w:t>
            </w:r>
          </w:p>
        </w:tc>
        <w:tc>
          <w:tcPr>
            <w:tcW w:w="7352" w:type="dxa"/>
            <w:gridSpan w:val="3"/>
          </w:tcPr>
          <w:p>
            <w:pPr>
              <w:widowControl/>
              <w:jc w:val="left"/>
              <w:rPr>
                <w:rFonts w:ascii="DengXian-Bold" w:hAnsi="DengXian-Bold" w:eastAsia="DengXian-Bold" w:cs="DengXian-Bold"/>
                <w:b/>
                <w:color w:val="000000"/>
                <w:kern w:val="0"/>
                <w:szCs w:val="21"/>
                <w:lang w:bidi="ar"/>
              </w:rPr>
            </w:pPr>
            <w:r>
              <w:rPr>
                <w:rFonts w:ascii="DengXian-Regular" w:hAnsi="DengXian-Regular" w:eastAsia="DengXian-Regular" w:cs="DengXian-Regular"/>
                <w:i/>
                <w:color w:val="FF0000"/>
                <w:kern w:val="0"/>
                <w:szCs w:val="21"/>
                <w:lang w:bidi="ar"/>
              </w:rPr>
              <w:t>预估月/年对应的笔数和金额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jc w:val="left"/>
            </w:pPr>
            <w:r>
              <w:rPr>
                <w:rFonts w:ascii="DengXian-Bold" w:hAnsi="DengXian-Bold" w:eastAsia="DengXian-Bold" w:cs="DengXian-Bold"/>
                <w:b/>
                <w:color w:val="000000"/>
                <w:kern w:val="0"/>
                <w:szCs w:val="21"/>
                <w:lang w:bidi="ar"/>
              </w:rPr>
              <w:t>合作背景</w:t>
            </w:r>
          </w:p>
        </w:tc>
        <w:tc>
          <w:tcPr>
            <w:tcW w:w="7352" w:type="dxa"/>
            <w:gridSpan w:val="3"/>
          </w:tcPr>
          <w:p>
            <w:pPr>
              <w:widowControl/>
              <w:jc w:val="left"/>
              <w:rPr>
                <w:rFonts w:hint="default" w:eastAsia="DengXian-Regular"/>
                <w:lang w:val="en-US" w:eastAsia="zh-Hans"/>
              </w:rPr>
            </w:pPr>
            <w:r>
              <w:rPr>
                <w:rFonts w:hint="eastAsia" w:ascii="DengXian-Regular" w:hAnsi="DengXian-Regular" w:eastAsia="DengXian-Regular" w:cs="DengXian-Regular"/>
                <w:i/>
                <w:color w:val="FF0000"/>
                <w:kern w:val="0"/>
                <w:szCs w:val="21"/>
                <w:lang w:val="en-US" w:eastAsia="zh-Hans" w:bidi="ar"/>
              </w:rPr>
              <w:t>大致</w:t>
            </w:r>
            <w:r>
              <w:rPr>
                <w:rFonts w:ascii="DengXian-Regular" w:hAnsi="DengXian-Regular" w:eastAsia="DengXian-Regular" w:cs="DengXian-Regular"/>
                <w:i/>
                <w:color w:val="FF0000"/>
                <w:kern w:val="0"/>
                <w:szCs w:val="21"/>
                <w:lang w:bidi="ar"/>
              </w:rPr>
              <w:t>描述</w:t>
            </w:r>
            <w:r>
              <w:rPr>
                <w:rFonts w:hint="eastAsia" w:ascii="DengXian-Regular" w:hAnsi="DengXian-Regular" w:eastAsia="DengXian-Regular" w:cs="DengXian-Regular"/>
                <w:i/>
                <w:color w:val="FF0000"/>
                <w:kern w:val="0"/>
                <w:szCs w:val="21"/>
                <w:lang w:val="en-US" w:eastAsia="zh-Hans" w:bidi="ar"/>
              </w:rPr>
              <w:t>分账双方需要开通分账的背景情况即可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jc w:val="left"/>
              <w:rPr>
                <w:rFonts w:ascii="DengXian-Bold" w:hAnsi="DengXian-Bold" w:eastAsia="DengXian-Bold" w:cs="DengXian-Bold"/>
                <w:b/>
                <w:color w:val="000000"/>
                <w:kern w:val="0"/>
                <w:szCs w:val="21"/>
                <w:lang w:bidi="ar"/>
              </w:rPr>
            </w:pPr>
            <w:r>
              <w:rPr>
                <w:rFonts w:ascii="DengXian-Bold" w:hAnsi="DengXian-Bold" w:eastAsia="DengXian-Bold" w:cs="DengXian-Bold"/>
                <w:b/>
                <w:color w:val="000000"/>
                <w:kern w:val="0"/>
                <w:szCs w:val="21"/>
                <w:lang w:bidi="ar"/>
              </w:rPr>
              <w:t>业务模式</w:t>
            </w:r>
          </w:p>
          <w:p>
            <w:pPr>
              <w:widowControl/>
              <w:jc w:val="left"/>
              <w:rPr>
                <w:rFonts w:ascii="DengXian-Bold" w:hAnsi="DengXian-Bold" w:eastAsia="DengXian-Bold" w:cs="DengXian-Bold"/>
                <w:b/>
                <w:color w:val="000000"/>
                <w:kern w:val="0"/>
                <w:szCs w:val="21"/>
                <w:lang w:bidi="ar"/>
              </w:rPr>
            </w:pPr>
          </w:p>
        </w:tc>
        <w:tc>
          <w:tcPr>
            <w:tcW w:w="7352" w:type="dxa"/>
            <w:gridSpan w:val="3"/>
          </w:tcPr>
          <w:p>
            <w:pPr>
              <w:widowControl/>
              <w:jc w:val="left"/>
              <w:rPr>
                <w:color w:val="FF0000"/>
              </w:rPr>
            </w:pPr>
            <w:r>
              <w:rPr>
                <w:rFonts w:ascii="DengXian-Regular" w:hAnsi="DengXian-Regular" w:eastAsia="DengXian-Regular" w:cs="DengXian-Regular"/>
                <w:i/>
                <w:color w:val="FF0000"/>
                <w:kern w:val="0"/>
                <w:szCs w:val="21"/>
                <w:lang w:bidi="ar"/>
              </w:rPr>
              <w:t>1、</w:t>
            </w:r>
            <w:r>
              <w:rPr>
                <w:rFonts w:hint="eastAsia" w:ascii="DengXian-Regular" w:hAnsi="DengXian-Regular" w:eastAsia="DengXian-Regular" w:cs="DengXian-Regular"/>
                <w:i/>
                <w:color w:val="FF0000"/>
                <w:kern w:val="0"/>
                <w:szCs w:val="21"/>
                <w:lang w:val="en-US" w:eastAsia="zh-Hans" w:bidi="ar"/>
              </w:rPr>
              <w:t>描述分账双方开通分账的背景</w:t>
            </w:r>
            <w:r>
              <w:rPr>
                <w:rFonts w:hint="default" w:ascii="DengXian-Regular" w:hAnsi="DengXian-Regular" w:eastAsia="DengXian-Regular" w:cs="DengXian-Regular"/>
                <w:i/>
                <w:color w:val="FF0000"/>
                <w:kern w:val="0"/>
                <w:szCs w:val="21"/>
                <w:lang w:eastAsia="zh-Hans" w:bidi="ar"/>
              </w:rPr>
              <w:t>、</w:t>
            </w:r>
            <w:r>
              <w:rPr>
                <w:rFonts w:hint="eastAsia" w:ascii="DengXian-Regular" w:hAnsi="DengXian-Regular" w:eastAsia="DengXian-Regular" w:cs="DengXian-Regular"/>
                <w:i/>
                <w:color w:val="FF0000"/>
                <w:kern w:val="0"/>
                <w:szCs w:val="21"/>
                <w:lang w:val="en-US" w:eastAsia="zh-Hans" w:bidi="ar"/>
              </w:rPr>
              <w:t>目的即可</w:t>
            </w:r>
          </w:p>
          <w:p>
            <w:pPr>
              <w:widowControl/>
              <w:jc w:val="left"/>
              <w:rPr>
                <w:rFonts w:hint="default"/>
                <w:lang w:val="en-US"/>
              </w:rPr>
            </w:pPr>
            <w:r>
              <w:rPr>
                <w:rFonts w:ascii="DengXian-Regular" w:hAnsi="DengXian-Regular" w:eastAsia="DengXian-Regular" w:cs="DengXian-Regular"/>
                <w:i/>
                <w:color w:val="FF0000"/>
                <w:kern w:val="0"/>
                <w:szCs w:val="21"/>
                <w:lang w:bidi="ar"/>
              </w:rPr>
              <w:t>2、</w:t>
            </w:r>
            <w:r>
              <w:rPr>
                <w:rFonts w:hint="eastAsia" w:ascii="DengXian-Regular" w:hAnsi="DengXian-Regular" w:eastAsia="DengXian-Regular" w:cs="DengXian-Regular"/>
                <w:i/>
                <w:color w:val="FF0000"/>
                <w:kern w:val="0"/>
                <w:szCs w:val="21"/>
                <w:lang w:val="en-US" w:eastAsia="zh-Hans" w:bidi="ar"/>
              </w:rPr>
              <w:t>注明分账发起方是谁</w:t>
            </w:r>
            <w:r>
              <w:rPr>
                <w:rFonts w:hint="default" w:ascii="DengXian-Regular" w:hAnsi="DengXian-Regular" w:eastAsia="DengXian-Regular" w:cs="DengXian-Regular"/>
                <w:i/>
                <w:color w:val="FF0000"/>
                <w:kern w:val="0"/>
                <w:szCs w:val="21"/>
                <w:lang w:eastAsia="zh-Hans" w:bidi="ar"/>
              </w:rPr>
              <w:t>、</w:t>
            </w:r>
            <w:r>
              <w:rPr>
                <w:rFonts w:hint="eastAsia" w:ascii="DengXian-Regular" w:hAnsi="DengXian-Regular" w:eastAsia="DengXian-Regular" w:cs="DengXian-Regular"/>
                <w:i/>
                <w:color w:val="FF0000"/>
                <w:kern w:val="0"/>
                <w:szCs w:val="21"/>
                <w:lang w:val="en-US" w:eastAsia="zh-Hans" w:bidi="ar"/>
              </w:rPr>
              <w:t>接收方是谁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jc w:val="left"/>
              <w:rPr>
                <w:rFonts w:ascii="DengXian-Bold" w:hAnsi="DengXian-Bold" w:eastAsia="DengXian-Bold" w:cs="DengXian-Bold"/>
                <w:b/>
                <w:color w:val="000000"/>
                <w:kern w:val="0"/>
                <w:szCs w:val="21"/>
                <w:lang w:bidi="ar"/>
              </w:rPr>
            </w:pPr>
            <w:r>
              <w:rPr>
                <w:rFonts w:ascii="DengXian-Bold" w:hAnsi="DengXian-Bold" w:eastAsia="DengXian-Bold" w:cs="DengXian-Bold"/>
                <w:b/>
                <w:color w:val="000000"/>
                <w:kern w:val="0"/>
                <w:szCs w:val="21"/>
                <w:lang w:bidi="ar"/>
              </w:rPr>
              <w:t>分账模式</w:t>
            </w:r>
          </w:p>
          <w:p>
            <w:pPr>
              <w:widowControl/>
              <w:jc w:val="left"/>
              <w:rPr>
                <w:rFonts w:ascii="DengXian-Bold" w:hAnsi="DengXian-Bold" w:eastAsia="DengXian-Bold" w:cs="DengXian-Bold"/>
                <w:b/>
                <w:color w:val="000000"/>
                <w:kern w:val="0"/>
                <w:szCs w:val="21"/>
                <w:lang w:bidi="ar"/>
              </w:rPr>
            </w:pPr>
          </w:p>
        </w:tc>
        <w:tc>
          <w:tcPr>
            <w:tcW w:w="7352" w:type="dxa"/>
            <w:gridSpan w:val="3"/>
          </w:tcPr>
          <w:p>
            <w:pPr>
              <w:widowControl/>
              <w:jc w:val="left"/>
              <w:rPr>
                <w:b/>
                <w:szCs w:val="21"/>
              </w:rPr>
            </w:pPr>
            <w:r>
              <w:rPr>
                <w:rFonts w:ascii="Wingdings 2" w:hAnsi="Wingdings 2" w:eastAsia="Wingdings 2" w:cs="Wingdings 2"/>
                <w:b/>
                <w:color w:val="000000"/>
                <w:kern w:val="0"/>
                <w:szCs w:val="21"/>
                <w:lang w:bidi="ar"/>
              </w:rPr>
              <w:sym w:font="Wingdings 2" w:char="00A3"/>
            </w:r>
            <w:r>
              <w:rPr>
                <w:rFonts w:ascii="Wingdings 2" w:hAnsi="Wingdings 2" w:eastAsia="Wingdings 2" w:cs="Wingdings 2"/>
                <w:b/>
                <w:color w:val="000000"/>
                <w:kern w:val="0"/>
                <w:szCs w:val="21"/>
                <w:lang w:bidi="ar"/>
              </w:rPr>
              <w:t>接口分账</w:t>
            </w:r>
            <w:r>
              <w:rPr>
                <w:rFonts w:ascii="DengXian-Bold" w:hAnsi="DengXian-Bold" w:eastAsia="DengXian-Bold" w:cs="DengXian-Bold"/>
                <w:b/>
                <w:color w:val="000000"/>
                <w:kern w:val="0"/>
                <w:szCs w:val="21"/>
                <w:lang w:bidi="ar"/>
              </w:rPr>
              <w:t xml:space="preserve"> </w:t>
            </w:r>
          </w:p>
          <w:p>
            <w:pPr>
              <w:rPr>
                <w:rFonts w:ascii="DengXian-Bold" w:hAnsi="DengXian-Bold" w:eastAsia="DengXian-Bold" w:cs="DengXian-Bold"/>
                <w:bCs/>
                <w:color w:val="000000"/>
                <w:kern w:val="0"/>
                <w:szCs w:val="21"/>
                <w:lang w:bidi="ar"/>
              </w:rPr>
            </w:pPr>
            <w:r>
              <w:rPr>
                <w:rFonts w:ascii="Wingdings 2" w:hAnsi="Wingdings 2" w:eastAsia="Wingdings 2" w:cs="Wingdings 2"/>
                <w:b/>
                <w:color w:val="000000"/>
                <w:kern w:val="0"/>
                <w:szCs w:val="21"/>
                <w:lang w:bidi="ar"/>
              </w:rPr>
              <w:t></w:t>
            </w:r>
            <w:r>
              <w:rPr>
                <w:rFonts w:ascii="Wingdings 2" w:hAnsi="Wingdings 2" w:eastAsia="Wingdings 2" w:cs="Wingdings 2"/>
                <w:bCs/>
                <w:color w:val="000000"/>
                <w:kern w:val="0"/>
                <w:szCs w:val="21"/>
                <w:lang w:bidi="ar"/>
              </w:rPr>
              <w:t></w:t>
            </w:r>
            <w:r>
              <w:rPr>
                <w:rFonts w:ascii="DengXian-Bold" w:hAnsi="DengXian-Bold" w:eastAsia="DengXian-Bold" w:cs="DengXian-Bold"/>
                <w:bCs/>
                <w:color w:val="000000"/>
                <w:kern w:val="0"/>
                <w:szCs w:val="21"/>
                <w:lang w:bidi="ar"/>
              </w:rPr>
              <w:t>配置分账</w:t>
            </w:r>
          </w:p>
          <w:p>
            <w:pPr>
              <w:widowControl/>
              <w:jc w:val="left"/>
              <w:rPr>
                <w:rFonts w:ascii="DengXian-Bold" w:hAnsi="DengXian-Bold" w:eastAsia="DengXian-Bold" w:cs="DengXian-Bold"/>
                <w:b/>
                <w:color w:val="000000"/>
                <w:kern w:val="0"/>
                <w:szCs w:val="21"/>
                <w:lang w:bidi="ar"/>
              </w:rPr>
            </w:pPr>
            <w:r>
              <w:rPr>
                <w:rFonts w:ascii="DengXian-Regular" w:hAnsi="DengXian-Regular" w:eastAsia="DengXian-Regular" w:cs="DengXian-Regular"/>
                <w:i/>
                <w:color w:val="FF0000"/>
                <w:kern w:val="0"/>
                <w:szCs w:val="21"/>
                <w:lang w:bidi="ar"/>
              </w:rPr>
              <w:t>填写说明：接口分账适用于商户</w:t>
            </w:r>
            <w:r>
              <w:rPr>
                <w:rFonts w:hint="eastAsia" w:ascii="DengXian-Regular" w:hAnsi="DengXian-Regular" w:eastAsia="DengXian-Regular" w:cs="DengXian-Regular"/>
                <w:i/>
                <w:color w:val="FF0000"/>
                <w:kern w:val="0"/>
                <w:szCs w:val="21"/>
                <w:lang w:val="en-US" w:eastAsia="zh-Hans" w:bidi="ar"/>
              </w:rPr>
              <w:t>自行提供开发接口</w:t>
            </w:r>
            <w:r>
              <w:rPr>
                <w:rFonts w:ascii="DengXian-Regular" w:hAnsi="DengXian-Regular" w:eastAsia="DengXian-Regular" w:cs="DengXian-Regular"/>
                <w:i/>
                <w:color w:val="FF0000"/>
                <w:kern w:val="0"/>
                <w:szCs w:val="21"/>
                <w:lang w:bidi="ar"/>
              </w:rPr>
              <w:t>的收款分账场景；配置分账适用于商户使用收钱吧</w:t>
            </w:r>
            <w:r>
              <w:rPr>
                <w:rFonts w:hint="eastAsia" w:ascii="DengXian-Regular" w:hAnsi="DengXian-Regular" w:eastAsia="DengXian-Regular" w:cs="DengXian-Regular"/>
                <w:i/>
                <w:color w:val="FF0000"/>
                <w:kern w:val="0"/>
                <w:szCs w:val="21"/>
                <w:lang w:val="en-US" w:eastAsia="zh-Hans" w:bidi="ar"/>
              </w:rPr>
              <w:t>固定配置</w:t>
            </w:r>
            <w:r>
              <w:rPr>
                <w:rFonts w:ascii="DengXian-Regular" w:hAnsi="DengXian-Regular" w:eastAsia="DengXian-Regular" w:cs="DengXian-Regular"/>
                <w:i/>
                <w:color w:val="FF0000"/>
                <w:kern w:val="0"/>
                <w:szCs w:val="21"/>
                <w:lang w:bidi="ar"/>
              </w:rPr>
              <w:t>的收款分账场景。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jc w:val="left"/>
              <w:rPr>
                <w:rFonts w:ascii="DengXian-Bold" w:hAnsi="DengXian-Bold" w:eastAsia="DengXian-Bold" w:cs="DengXian-Bold"/>
                <w:b/>
                <w:color w:val="000000"/>
                <w:kern w:val="0"/>
                <w:szCs w:val="21"/>
                <w:lang w:bidi="ar"/>
              </w:rPr>
            </w:pPr>
            <w:r>
              <w:rPr>
                <w:rFonts w:ascii="DengXian-Bold" w:hAnsi="DengXian-Bold" w:eastAsia="DengXian-Bold" w:cs="DengXian-Bold"/>
                <w:b/>
                <w:color w:val="000000"/>
                <w:kern w:val="0"/>
                <w:szCs w:val="21"/>
                <w:lang w:bidi="ar"/>
              </w:rPr>
              <w:t>分账方式</w:t>
            </w:r>
          </w:p>
        </w:tc>
        <w:tc>
          <w:tcPr>
            <w:tcW w:w="7352" w:type="dxa"/>
            <w:gridSpan w:val="3"/>
          </w:tcPr>
          <w:p>
            <w:pPr>
              <w:widowControl/>
              <w:jc w:val="left"/>
              <w:rPr>
                <w:b/>
                <w:szCs w:val="21"/>
              </w:rPr>
            </w:pPr>
            <w:r>
              <w:rPr>
                <w:rFonts w:ascii="Wingdings 2" w:hAnsi="Wingdings 2" w:eastAsia="Wingdings 2" w:cs="Wingdings 2"/>
                <w:b/>
                <w:color w:val="000000"/>
                <w:kern w:val="0"/>
                <w:szCs w:val="21"/>
                <w:lang w:bidi="ar"/>
              </w:rPr>
              <w:t></w:t>
            </w:r>
            <w:r>
              <w:rPr>
                <w:rFonts w:ascii="DengXian-Bold" w:hAnsi="DengXian-Bold" w:eastAsia="DengXian-Bold" w:cs="DengXian-Bold"/>
                <w:bCs/>
                <w:color w:val="000000"/>
                <w:kern w:val="0"/>
                <w:szCs w:val="21"/>
                <w:lang w:bidi="ar"/>
              </w:rPr>
              <w:t>按比例分</w:t>
            </w:r>
          </w:p>
          <w:p>
            <w:pPr>
              <w:rPr>
                <w:rFonts w:ascii="Wingdings 2" w:hAnsi="Wingdings 2" w:eastAsia="Wingdings 2" w:cs="Wingdings 2"/>
                <w:b/>
                <w:color w:val="000000"/>
                <w:kern w:val="0"/>
                <w:szCs w:val="21"/>
                <w:lang w:bidi="ar"/>
              </w:rPr>
            </w:pPr>
            <w:r>
              <w:rPr>
                <w:rFonts w:ascii="Wingdings 2" w:hAnsi="Wingdings 2" w:eastAsia="Wingdings 2" w:cs="Wingdings 2"/>
                <w:b/>
                <w:color w:val="000000"/>
                <w:kern w:val="0"/>
                <w:szCs w:val="21"/>
                <w:lang w:bidi="ar"/>
              </w:rPr>
              <w:t>按金额分</w:t>
            </w:r>
          </w:p>
          <w:p>
            <w:pPr>
              <w:rPr>
                <w:rFonts w:ascii="Wingdings 2" w:hAnsi="Wingdings 2" w:eastAsia="Wingdings 2" w:cs="Wingdings 2"/>
                <w:b/>
                <w:color w:val="000000"/>
                <w:kern w:val="0"/>
                <w:szCs w:val="21"/>
                <w:lang w:bidi="ar"/>
              </w:rPr>
            </w:pPr>
            <w:r>
              <w:rPr>
                <w:rFonts w:ascii="DengXian-Regular" w:hAnsi="DengXian-Regular" w:eastAsia="DengXian-Regular" w:cs="DengXian-Regular"/>
                <w:i/>
                <w:color w:val="FF0000"/>
                <w:kern w:val="0"/>
                <w:szCs w:val="21"/>
                <w:lang w:bidi="ar"/>
              </w:rPr>
              <w:t>填写说明：</w:t>
            </w:r>
            <w:r>
              <w:rPr>
                <w:rFonts w:ascii="DengXian-Regular" w:hAnsi="DengXian-Regular" w:eastAsia="DengXian-Regular" w:cs="DengXian-Regular"/>
                <w:b/>
                <w:bCs/>
                <w:i/>
                <w:color w:val="FF0000"/>
                <w:kern w:val="0"/>
                <w:szCs w:val="21"/>
                <w:lang w:bidi="ar"/>
              </w:rPr>
              <w:t>按比例分</w:t>
            </w:r>
            <w:r>
              <w:rPr>
                <w:rFonts w:ascii="DengXian-Regular" w:hAnsi="DengXian-Regular" w:eastAsia="DengXian-Regular" w:cs="DengXian-Regular"/>
                <w:i/>
                <w:color w:val="FF0000"/>
                <w:kern w:val="0"/>
                <w:szCs w:val="21"/>
                <w:lang w:bidi="ar"/>
              </w:rPr>
              <w:t>为基于商户每笔支付订单结算金额的约定分账比例进行分账；</w:t>
            </w:r>
            <w:r>
              <w:rPr>
                <w:rFonts w:ascii="DengXian-Regular" w:hAnsi="DengXian-Regular" w:eastAsia="DengXian-Regular" w:cs="DengXian-Regular"/>
                <w:b/>
                <w:bCs/>
                <w:i/>
                <w:color w:val="FF0000"/>
                <w:kern w:val="0"/>
                <w:szCs w:val="21"/>
                <w:lang w:bidi="ar"/>
              </w:rPr>
              <w:t>按金额分</w:t>
            </w:r>
            <w:r>
              <w:rPr>
                <w:rFonts w:ascii="DengXian-Regular" w:hAnsi="DengXian-Regular" w:eastAsia="DengXian-Regular" w:cs="DengXian-Regular"/>
                <w:i/>
                <w:color w:val="FF0000"/>
                <w:kern w:val="0"/>
                <w:szCs w:val="21"/>
                <w:lang w:bidi="ar"/>
              </w:rPr>
              <w:t>为基于商户每笔订单结算金额中的约定金额进行分账，当订单结算金额小于分账金额时，则不分。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widowControl/>
              <w:jc w:val="left"/>
              <w:rPr>
                <w:rFonts w:ascii="DengXian-Bold" w:hAnsi="DengXian-Bold" w:eastAsia="DengXian-Bold" w:cs="DengXian-Bold"/>
                <w:b/>
                <w:color w:val="000000"/>
                <w:kern w:val="0"/>
                <w:szCs w:val="21"/>
                <w:lang w:bidi="ar"/>
              </w:rPr>
            </w:pPr>
            <w:r>
              <w:rPr>
                <w:rFonts w:ascii="DengXian-Bold" w:hAnsi="DengXian-Bold" w:eastAsia="DengXian-Bold" w:cs="DengXian-Bold"/>
                <w:b/>
                <w:color w:val="000000"/>
                <w:kern w:val="0"/>
                <w:szCs w:val="21"/>
                <w:lang w:bidi="ar"/>
              </w:rPr>
              <w:t>最大分账比例/最大分账金额</w:t>
            </w:r>
          </w:p>
        </w:tc>
        <w:tc>
          <w:tcPr>
            <w:tcW w:w="7352" w:type="dxa"/>
            <w:gridSpan w:val="3"/>
          </w:tcPr>
          <w:p>
            <w:pPr>
              <w:widowControl/>
              <w:jc w:val="left"/>
              <w:rPr>
                <w:rFonts w:ascii="DengXian-Bold" w:hAnsi="DengXian-Bold" w:eastAsia="DengXian-Bold" w:cs="DengXian-Bold"/>
                <w:b/>
                <w:color w:val="000000"/>
                <w:kern w:val="0"/>
                <w:szCs w:val="21"/>
                <w:lang w:bidi="ar"/>
              </w:rPr>
            </w:pPr>
            <w:r>
              <w:rPr>
                <w:rFonts w:ascii="DengXian-Regular" w:hAnsi="DengXian-Regular" w:eastAsia="DengXian-Regular" w:cs="DengXian-Regular"/>
                <w:i/>
                <w:color w:val="000000"/>
                <w:kern w:val="0"/>
                <w:szCs w:val="21"/>
                <w:lang w:bidi="ar"/>
              </w:rPr>
              <w:t>描述单笔支付订单的最大分账比例或最大分账金额，最大分账比例或最大分账金额不能超过订单金额的30%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b/>
                <w:bCs/>
              </w:rPr>
            </w:pPr>
            <w:r>
              <w:rPr>
                <w:b/>
                <w:bCs/>
              </w:rPr>
              <w:t>分账回退开关</w:t>
            </w:r>
          </w:p>
        </w:tc>
        <w:tc>
          <w:tcPr>
            <w:tcW w:w="7352" w:type="dxa"/>
            <w:gridSpan w:val="3"/>
          </w:tcPr>
          <w:p>
            <w:pPr>
              <w:widowControl/>
              <w:spacing w:line="360" w:lineRule="auto"/>
              <w:jc w:val="left"/>
              <w:rPr>
                <w:rFonts w:ascii="Wingdings 2" w:hAnsi="Wingdings 2" w:eastAsia="Wingdings 2" w:cs="Wingdings 2"/>
                <w:b/>
                <w:color w:val="000000"/>
                <w:kern w:val="0"/>
                <w:szCs w:val="21"/>
                <w:lang w:bidi="ar"/>
              </w:rPr>
            </w:pPr>
            <w:r>
              <w:rPr>
                <w:rFonts w:ascii="Wingdings 2" w:hAnsi="Wingdings 2" w:eastAsia="Wingdings 2" w:cs="Wingdings 2"/>
                <w:b/>
                <w:color w:val="000000"/>
                <w:kern w:val="0"/>
                <w:szCs w:val="21"/>
                <w:lang w:bidi="ar"/>
              </w:rPr>
              <w:t>开启</w:t>
            </w:r>
          </w:p>
          <w:p>
            <w:pPr>
              <w:widowControl/>
              <w:spacing w:line="360" w:lineRule="auto"/>
              <w:jc w:val="left"/>
              <w:rPr>
                <w:rFonts w:ascii="Wingdings 2" w:hAnsi="Wingdings 2" w:eastAsia="Wingdings 2" w:cs="Wingdings 2"/>
                <w:b/>
                <w:color w:val="000000"/>
                <w:kern w:val="0"/>
                <w:szCs w:val="21"/>
                <w:lang w:bidi="ar"/>
              </w:rPr>
            </w:pPr>
            <w:r>
              <w:rPr>
                <w:rFonts w:ascii="Wingdings 2" w:hAnsi="Wingdings 2" w:eastAsia="Wingdings 2" w:cs="Wingdings 2"/>
                <w:b/>
                <w:color w:val="000000"/>
                <w:kern w:val="0"/>
                <w:szCs w:val="21"/>
                <w:lang w:bidi="ar"/>
              </w:rPr>
              <w:t>关闭</w:t>
            </w:r>
          </w:p>
          <w:p>
            <w:pPr>
              <w:widowControl/>
              <w:tabs>
                <w:tab w:val="left" w:pos="5880"/>
              </w:tabs>
              <w:jc w:val="left"/>
              <w:rPr>
                <w:rFonts w:ascii="DengXian-Regular" w:hAnsi="DengXian-Regular" w:eastAsia="DengXian-Regular" w:cs="DengXian-Regular"/>
                <w:i/>
                <w:color w:val="000000"/>
                <w:kern w:val="0"/>
                <w:szCs w:val="21"/>
                <w:lang w:bidi="ar"/>
              </w:rPr>
            </w:pPr>
            <w:r>
              <w:rPr>
                <w:rFonts w:ascii="DengXian-Regular" w:hAnsi="DengXian-Regular" w:eastAsia="DengXian-Regular" w:cs="DengXian-Regular"/>
                <w:i/>
                <w:color w:val="FF0000"/>
                <w:kern w:val="0"/>
                <w:szCs w:val="21"/>
                <w:lang w:bidi="ar"/>
              </w:rPr>
              <w:t>填写说明：分账后的支付订单退款时是否需要进行已分账资金的回退，开启为支持回退，且部份</w:t>
            </w:r>
            <w:r>
              <w:rPr>
                <w:rFonts w:ascii="Wingdings 2" w:hAnsi="Wingdings 2" w:eastAsia="Wingdings 2" w:cs="Wingdings 2"/>
                <w:b/>
                <w:color w:val="FF0000"/>
                <w:kern w:val="0"/>
                <w:szCs w:val="21"/>
                <w:lang w:bidi="ar"/>
              </w:rPr>
              <w:t>退款</w:t>
            </w:r>
            <w:r>
              <w:rPr>
                <w:rFonts w:ascii="DengXian-Regular" w:hAnsi="DengXian-Regular" w:eastAsia="DengXian-Regular" w:cs="DengXian-Regular"/>
                <w:i/>
                <w:color w:val="FF0000"/>
                <w:kern w:val="0"/>
                <w:szCs w:val="21"/>
                <w:lang w:bidi="ar"/>
              </w:rPr>
              <w:t>时，则按比例回退；关闭为不支持分账回退；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r>
              <w:rPr>
                <w:b/>
                <w:bCs/>
              </w:rPr>
              <w:t>附件目录</w:t>
            </w:r>
          </w:p>
        </w:tc>
        <w:tc>
          <w:tcPr>
            <w:tcW w:w="7352" w:type="dxa"/>
            <w:gridSpan w:val="3"/>
          </w:tcPr>
          <w:p>
            <w:pPr>
              <w:widowControl/>
              <w:jc w:val="left"/>
            </w:pPr>
            <w:r>
              <w:rPr>
                <w:rFonts w:ascii="DengXian-Bold" w:hAnsi="DengXian-Bold" w:eastAsia="DengXian-Bold" w:cs="DengXian-Bold"/>
                <w:b/>
                <w:i/>
                <w:color w:val="000000"/>
                <w:kern w:val="0"/>
                <w:szCs w:val="21"/>
                <w:lang w:bidi="ar"/>
              </w:rPr>
              <w:t>1、商户和分账收款方的</w:t>
            </w:r>
            <w:r>
              <w:rPr>
                <w:rFonts w:ascii="DengXian-Regular" w:hAnsi="DengXian-Regular" w:eastAsia="DengXian-Regular" w:cs="DengXian-Regular"/>
                <w:i/>
                <w:color w:val="000000"/>
                <w:kern w:val="0"/>
                <w:szCs w:val="21"/>
                <w:lang w:bidi="ar"/>
              </w:rPr>
              <w:t xml:space="preserve">营业执照、开户许可证、法人身份证、营业场所照片或视频（涉及收单业务的，以拉卡拉收单商户入网审核要求为准提供相关材料） </w:t>
            </w:r>
          </w:p>
          <w:p>
            <w:pPr>
              <w:widowControl/>
              <w:jc w:val="left"/>
            </w:pPr>
            <w:r>
              <w:rPr>
                <w:rFonts w:ascii="DengXian-Bold" w:hAnsi="DengXian-Bold" w:eastAsia="DengXian-Bold" w:cs="DengXian-Bold"/>
                <w:b/>
                <w:i/>
                <w:color w:val="000000"/>
                <w:kern w:val="0"/>
                <w:szCs w:val="21"/>
                <w:lang w:bidi="ar"/>
              </w:rPr>
              <w:t>2、</w:t>
            </w:r>
            <w:r>
              <w:rPr>
                <w:rFonts w:ascii="DengXian-Regular" w:hAnsi="DengXian-Regular" w:eastAsia="DengXian-Regular" w:cs="DengXian-Regular"/>
                <w:i/>
                <w:color w:val="000000"/>
                <w:kern w:val="0"/>
                <w:szCs w:val="21"/>
                <w:lang w:bidi="ar"/>
              </w:rPr>
              <w:t xml:space="preserve">特许行业的，应提供行业监管部门颁发的特许经营许可证等资质证明 </w:t>
            </w:r>
          </w:p>
          <w:p>
            <w:pPr>
              <w:widowControl/>
              <w:jc w:val="left"/>
            </w:pPr>
            <w:r>
              <w:rPr>
                <w:rFonts w:ascii="DengXian-Bold" w:hAnsi="DengXian-Bold" w:eastAsia="DengXian-Bold" w:cs="DengXian-Bold"/>
                <w:b/>
                <w:i/>
                <w:color w:val="000000"/>
                <w:kern w:val="0"/>
                <w:szCs w:val="21"/>
                <w:lang w:bidi="ar"/>
              </w:rPr>
              <w:t>3、</w:t>
            </w:r>
            <w:r>
              <w:rPr>
                <w:rFonts w:ascii="DengXian-Regular" w:hAnsi="DengXian-Regular" w:eastAsia="DengXian-Regular" w:cs="DengXian-Regular"/>
                <w:i/>
                <w:color w:val="000000"/>
                <w:kern w:val="0"/>
                <w:szCs w:val="21"/>
                <w:lang w:bidi="ar"/>
              </w:rPr>
              <w:t xml:space="preserve">开展线上业务的，应提供网址、ICP 备案、APP、增值业务许可等 </w:t>
            </w:r>
          </w:p>
          <w:p>
            <w:pPr>
              <w:pStyle w:val="5"/>
              <w:widowControl/>
            </w:pPr>
            <w:r>
              <w:rPr>
                <w:rFonts w:ascii="DengXian-Bold" w:hAnsi="DengXian-Bold" w:eastAsia="DengXian-Bold" w:cs="DengXian-Bold"/>
                <w:b/>
                <w:i/>
                <w:sz w:val="21"/>
                <w:szCs w:val="21"/>
              </w:rPr>
              <w:t>4、</w:t>
            </w:r>
            <w:r>
              <w:rPr>
                <w:rFonts w:ascii="DengXian-Regular" w:hAnsi="DengXian-Regular" w:eastAsia="DengXian-Regular" w:cs="DengXian-Regular"/>
                <w:i/>
                <w:sz w:val="21"/>
                <w:szCs w:val="21"/>
              </w:rPr>
              <w:t>展业平台名称、应用等，以及客户端产品安装包或网址（小程序、公众号等）+测试账号</w:t>
            </w:r>
          </w:p>
          <w:p>
            <w:pPr>
              <w:widowControl/>
              <w:jc w:val="left"/>
            </w:pPr>
            <w:r>
              <w:rPr>
                <w:rFonts w:ascii="DengXian-Bold" w:hAnsi="DengXian-Bold" w:eastAsia="DengXian-Bold" w:cs="DengXian-Bold"/>
                <w:b/>
                <w:i/>
                <w:color w:val="000000"/>
                <w:kern w:val="0"/>
                <w:szCs w:val="21"/>
                <w:lang w:bidi="ar"/>
              </w:rPr>
              <w:t>5、</w:t>
            </w:r>
            <w:r>
              <w:rPr>
                <w:rFonts w:ascii="DengXian-Regular" w:hAnsi="DengXian-Regular" w:eastAsia="DengXian-Regular" w:cs="DengXian-Regular"/>
                <w:i/>
                <w:color w:val="000000"/>
                <w:kern w:val="0"/>
                <w:szCs w:val="21"/>
                <w:lang w:bidi="ar"/>
              </w:rPr>
              <w:t xml:space="preserve">客户详细业务流程、分账处理流程、资金清结算流程等业务模式的相关佐证材料。 </w:t>
            </w:r>
          </w:p>
          <w:p>
            <w:pPr>
              <w:widowControl/>
              <w:jc w:val="left"/>
            </w:pPr>
            <w:r>
              <w:rPr>
                <w:rFonts w:ascii="DengXian-Bold" w:hAnsi="DengXian-Bold" w:eastAsia="DengXian-Bold" w:cs="DengXian-Bold"/>
                <w:b/>
                <w:i/>
                <w:color w:val="000000"/>
                <w:kern w:val="0"/>
                <w:szCs w:val="21"/>
                <w:lang w:bidi="ar"/>
              </w:rPr>
              <w:t>6、</w:t>
            </w:r>
            <w:r>
              <w:rPr>
                <w:rFonts w:ascii="DengXian-Regular" w:hAnsi="DengXian-Regular" w:eastAsia="DengXian-Regular" w:cs="DengXian-Regular"/>
                <w:i/>
                <w:color w:val="000000"/>
                <w:kern w:val="0"/>
                <w:szCs w:val="21"/>
                <w:lang w:bidi="ar"/>
              </w:rPr>
              <w:t>协议：包括商户与拉卡拉签订的</w:t>
            </w:r>
            <w:r>
              <w:rPr>
                <w:rFonts w:ascii="DengXian-Regular" w:hAnsi="DengXian-Regular" w:eastAsia="DengXian-Regular" w:cs="DengXian-Regular"/>
                <w:b/>
                <w:bCs/>
                <w:i/>
                <w:color w:val="000000"/>
                <w:kern w:val="0"/>
                <w:szCs w:val="21"/>
                <w:lang w:bidi="ar"/>
              </w:rPr>
              <w:t>结算授权委托书</w:t>
            </w:r>
            <w:r>
              <w:rPr>
                <w:rFonts w:ascii="DengXian-Regular" w:hAnsi="DengXian-Regular" w:eastAsia="DengXian-Regular" w:cs="DengXian-Regular"/>
                <w:i/>
                <w:color w:val="000000"/>
                <w:kern w:val="0"/>
                <w:szCs w:val="21"/>
                <w:lang w:bidi="ar"/>
              </w:rPr>
              <w:t>、商户与收钱吧的</w:t>
            </w:r>
            <w:r>
              <w:rPr>
                <w:rFonts w:ascii="DengXian-Regular" w:hAnsi="DengXian-Regular" w:eastAsia="DengXian-Regular" w:cs="DengXian-Regular"/>
                <w:b/>
                <w:bCs/>
                <w:i/>
                <w:color w:val="000000"/>
                <w:kern w:val="0"/>
                <w:szCs w:val="21"/>
                <w:lang w:bidi="ar"/>
              </w:rPr>
              <w:t>分账指令传输服务条款</w:t>
            </w:r>
            <w:r>
              <w:rPr>
                <w:rFonts w:ascii="DengXian-Regular" w:hAnsi="DengXian-Regular" w:eastAsia="DengXian-Regular" w:cs="DengXian-Regular"/>
                <w:i/>
                <w:color w:val="000000"/>
                <w:kern w:val="0"/>
                <w:szCs w:val="21"/>
                <w:lang w:bidi="ar"/>
              </w:rPr>
              <w:t>、商户与分账收款方的业务合作协议（该协议内容中必须包含</w:t>
            </w:r>
            <w:r>
              <w:rPr>
                <w:rFonts w:ascii="DengXian-Regular" w:hAnsi="DengXian-Regular" w:eastAsia="DengXian-Regular" w:cs="DengXian-Regular"/>
                <w:b/>
                <w:bCs/>
                <w:i/>
                <w:color w:val="000000"/>
                <w:kern w:val="0"/>
                <w:szCs w:val="21"/>
                <w:lang w:bidi="ar"/>
              </w:rPr>
              <w:t>分账规则、最大分账比例</w:t>
            </w:r>
            <w:r>
              <w:rPr>
                <w:rFonts w:ascii="DengXian-Regular" w:hAnsi="DengXian-Regular" w:eastAsia="DengXian-Regular" w:cs="DengXian-Regular"/>
                <w:i/>
                <w:color w:val="000000"/>
                <w:kern w:val="0"/>
                <w:szCs w:val="21"/>
                <w:lang w:bidi="ar"/>
              </w:rPr>
              <w:t xml:space="preserve">等内容，系统中配置的分账规则或商户发起的分账指令需与协议中约定的分账规则保持一致） </w:t>
            </w:r>
          </w:p>
          <w:p>
            <w:pPr>
              <w:widowControl/>
              <w:jc w:val="left"/>
            </w:pPr>
            <w:r>
              <w:rPr>
                <w:rFonts w:ascii="DengXian-Bold" w:hAnsi="DengXian-Bold" w:eastAsia="DengXian-Bold" w:cs="DengXian-Bold"/>
                <w:b/>
                <w:i/>
                <w:color w:val="000000"/>
                <w:kern w:val="0"/>
                <w:szCs w:val="21"/>
                <w:lang w:bidi="ar"/>
              </w:rPr>
              <w:t>7、</w:t>
            </w:r>
            <w:r>
              <w:rPr>
                <w:rFonts w:ascii="DengXian-Regular" w:hAnsi="DengXian-Regular" w:eastAsia="DengXian-Regular" w:cs="DengXian-Regular"/>
                <w:i/>
                <w:color w:val="000000"/>
                <w:kern w:val="0"/>
                <w:szCs w:val="21"/>
                <w:lang w:bidi="ar"/>
              </w:rPr>
              <w:t>能够证明分账模式合理性的材料，包括但不限于发票等。</w:t>
            </w:r>
          </w:p>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04" w:type="dxa"/>
          </w:tcPr>
          <w:p>
            <w:pPr>
              <w:rPr>
                <w:b/>
                <w:bCs/>
              </w:rPr>
            </w:pPr>
            <w:r>
              <w:rPr>
                <w:b/>
                <w:bCs/>
              </w:rPr>
              <w:t>备注</w:t>
            </w:r>
          </w:p>
        </w:tc>
        <w:tc>
          <w:tcPr>
            <w:tcW w:w="7352" w:type="dxa"/>
            <w:gridSpan w:val="3"/>
          </w:tcPr>
          <w:p/>
        </w:tc>
      </w:tr>
    </w:tbl>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Times New Roman"/>
    <w:panose1 w:val="02000503000000020004"/>
    <w:charset w:val="00"/>
    <w:family w:val="auto"/>
    <w:pitch w:val="default"/>
    <w:sig w:usb0="00000000" w:usb1="00000000" w:usb2="00000000" w:usb3="00000000" w:csb0="00000000" w:csb1="00000000"/>
  </w:font>
  <w:font w:name="DengXian-Bold">
    <w:altName w:val="宋体"/>
    <w:panose1 w:val="00000000000000000000"/>
    <w:charset w:val="86"/>
    <w:family w:val="auto"/>
    <w:pitch w:val="default"/>
    <w:sig w:usb0="00000000" w:usb1="00000000" w:usb2="00000016" w:usb3="00000000" w:csb0="0004000F" w:csb1="00000000"/>
  </w:font>
  <w:font w:name="DengXian-Regular">
    <w:altName w:val="宋体"/>
    <w:panose1 w:val="00000000000000000000"/>
    <w:charset w:val="86"/>
    <w:family w:val="auto"/>
    <w:pitch w:val="default"/>
    <w:sig w:usb0="00000000" w:usb1="00000000" w:usb2="00000016" w:usb3="00000000" w:csb0="0004000F" w:csb1="00000000"/>
  </w:font>
  <w:font w:name="Wingdings 2">
    <w:altName w:val="Wingdings"/>
    <w:panose1 w:val="05020102010507070707"/>
    <w:charset w:val="02"/>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VerticalSpacing w:val="156"/>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EF1EB5"/>
    <w:rsid w:val="003102FD"/>
    <w:rsid w:val="00D87DEE"/>
    <w:rsid w:val="025B65CA"/>
    <w:rsid w:val="17CEBBA0"/>
    <w:rsid w:val="2F5EB6E7"/>
    <w:rsid w:val="31DB708C"/>
    <w:rsid w:val="37A7105C"/>
    <w:rsid w:val="3B4DD9AE"/>
    <w:rsid w:val="3BED1FDA"/>
    <w:rsid w:val="3BEF1EB5"/>
    <w:rsid w:val="3BF788FF"/>
    <w:rsid w:val="3BFFCDB5"/>
    <w:rsid w:val="3F1FFB15"/>
    <w:rsid w:val="3FDA1B29"/>
    <w:rsid w:val="47FE53D3"/>
    <w:rsid w:val="4DFD9E0F"/>
    <w:rsid w:val="4FF74A16"/>
    <w:rsid w:val="57DE4973"/>
    <w:rsid w:val="5DD5CFCE"/>
    <w:rsid w:val="5E0AF493"/>
    <w:rsid w:val="5F9E411F"/>
    <w:rsid w:val="5FBF2681"/>
    <w:rsid w:val="5FEFBBAC"/>
    <w:rsid w:val="5FFF4AF8"/>
    <w:rsid w:val="5FFF9C8A"/>
    <w:rsid w:val="69A90C82"/>
    <w:rsid w:val="6BEA047F"/>
    <w:rsid w:val="6BFD6DFE"/>
    <w:rsid w:val="6DF7BA3D"/>
    <w:rsid w:val="6FAD6F1A"/>
    <w:rsid w:val="6FBF99B4"/>
    <w:rsid w:val="6FFE2C29"/>
    <w:rsid w:val="73E41FC2"/>
    <w:rsid w:val="76FF3C17"/>
    <w:rsid w:val="77DC8537"/>
    <w:rsid w:val="79DF1A0D"/>
    <w:rsid w:val="7AFA9160"/>
    <w:rsid w:val="7BF6BCC6"/>
    <w:rsid w:val="7BFDD303"/>
    <w:rsid w:val="7EEF77C1"/>
    <w:rsid w:val="7F74EC14"/>
    <w:rsid w:val="7F761655"/>
    <w:rsid w:val="7FB82BC0"/>
    <w:rsid w:val="7FF8ADEE"/>
    <w:rsid w:val="86F175DF"/>
    <w:rsid w:val="8F2E815F"/>
    <w:rsid w:val="9FDFF989"/>
    <w:rsid w:val="9FF3DCA4"/>
    <w:rsid w:val="A7F8C8A8"/>
    <w:rsid w:val="ADFE83DB"/>
    <w:rsid w:val="AF3BDDF3"/>
    <w:rsid w:val="AF9F8379"/>
    <w:rsid w:val="B3777FB6"/>
    <w:rsid w:val="B3EB22B5"/>
    <w:rsid w:val="B674D6EA"/>
    <w:rsid w:val="BBE36E36"/>
    <w:rsid w:val="BEFFCD94"/>
    <w:rsid w:val="BFCECEBC"/>
    <w:rsid w:val="BFFFDA6B"/>
    <w:rsid w:val="BFFFE713"/>
    <w:rsid w:val="C5FD41F7"/>
    <w:rsid w:val="CDBBE72F"/>
    <w:rsid w:val="DD35E9D4"/>
    <w:rsid w:val="DD7FEC2A"/>
    <w:rsid w:val="DEFDDFA9"/>
    <w:rsid w:val="DF7FF4AA"/>
    <w:rsid w:val="DFCFB371"/>
    <w:rsid w:val="DFDF2475"/>
    <w:rsid w:val="EB6F8E14"/>
    <w:rsid w:val="EDFF5736"/>
    <w:rsid w:val="EFBE07D0"/>
    <w:rsid w:val="EFCB278A"/>
    <w:rsid w:val="F65F3099"/>
    <w:rsid w:val="F6FDC769"/>
    <w:rsid w:val="F7BB3C39"/>
    <w:rsid w:val="F7BF16FB"/>
    <w:rsid w:val="F93F25D1"/>
    <w:rsid w:val="FABFBBFC"/>
    <w:rsid w:val="FBFE5D8D"/>
    <w:rsid w:val="FEFECDCF"/>
    <w:rsid w:val="FFBBF7BE"/>
    <w:rsid w:val="FFD6EB3B"/>
    <w:rsid w:val="FFD75510"/>
    <w:rsid w:val="FFF2247A"/>
    <w:rsid w:val="FFFB9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unhideWhenUsed/>
    <w:qFormat/>
    <w:uiPriority w:val="1"/>
  </w:style>
  <w:style w:type="table" w:default="1" w:styleId="2">
    <w:name w:val="Normal Table"/>
    <w:unhideWhenUsed/>
    <w:qFormat/>
    <w:uiPriority w:val="99"/>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p1"/>
    <w:basedOn w:val="1"/>
    <w:qFormat/>
    <w:uiPriority w:val="0"/>
    <w:pPr>
      <w:spacing w:line="380" w:lineRule="atLeast"/>
      <w:jc w:val="left"/>
    </w:pPr>
    <w:rPr>
      <w:rFonts w:ascii="Helvetica Neue" w:hAnsi="Helvetica Neue" w:eastAsia="Helvetica Neue" w:cs="Times New Roman"/>
      <w:color w:val="000000"/>
      <w:kern w:val="0"/>
      <w:sz w:val="26"/>
      <w:szCs w:val="2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133</Words>
  <Characters>763</Characters>
  <Lines>6</Lines>
  <Paragraphs>1</Paragraphs>
  <TotalTime>20</TotalTime>
  <ScaleCrop>false</ScaleCrop>
  <LinksUpToDate>false</LinksUpToDate>
  <CharactersWithSpaces>895</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2020-07-25T08:35:00Z</dcterms:created>
  <dc:creator>macuser</dc:creator>
  <cp:lastModifiedBy>收钱吧POS机</cp:lastModifiedBy>
  <dcterms:modified xsi:type="dcterms:W3CDTF">2024-03-21T14:12:48Z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F1821153C0424A1899E96DA53F62E853</vt:lpwstr>
  </property>
</Properties>
</file>